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083"/>
        <w:gridCol w:w="3373"/>
      </w:tblGrid>
      <w:tr w:rsidR="00727B2B" w14:paraId="3290A38B" w14:textId="77777777" w:rsidTr="00633821">
        <w:tc>
          <w:tcPr>
            <w:tcW w:w="10456" w:type="dxa"/>
            <w:gridSpan w:val="2"/>
          </w:tcPr>
          <w:p w14:paraId="668FB7F2" w14:textId="77777777" w:rsidR="00727B2B" w:rsidRPr="00C5769E" w:rsidRDefault="00727B2B" w:rsidP="00F47A93">
            <w:pPr>
              <w:jc w:val="center"/>
              <w:rPr>
                <w:rFonts w:ascii="Century Gothic" w:hAnsi="Century Gothic" w:cstheme="minorHAnsi"/>
                <w:b/>
                <w:color w:val="5B9BD5" w:themeColor="accent1"/>
                <w:sz w:val="40"/>
                <w:szCs w:val="40"/>
              </w:rPr>
            </w:pPr>
            <w:r w:rsidRPr="00C5769E">
              <w:rPr>
                <w:rFonts w:ascii="Century Gothic" w:hAnsi="Century Gothic" w:cstheme="minorHAnsi"/>
                <w:b/>
                <w:color w:val="5B9BD5" w:themeColor="accent1"/>
                <w:sz w:val="40"/>
                <w:szCs w:val="40"/>
              </w:rPr>
              <w:t xml:space="preserve">Curriculum Intent: </w:t>
            </w:r>
            <w:r w:rsidR="009001B1" w:rsidRPr="00C5769E">
              <w:rPr>
                <w:rFonts w:ascii="Century Gothic" w:hAnsi="Century Gothic" w:cstheme="minorHAnsi"/>
                <w:b/>
                <w:color w:val="5B9BD5" w:themeColor="accent1"/>
                <w:sz w:val="40"/>
                <w:szCs w:val="40"/>
              </w:rPr>
              <w:t xml:space="preserve">Modern Foreign Languages </w:t>
            </w:r>
            <w:r w:rsidR="00F47A93" w:rsidRPr="00C5769E">
              <w:rPr>
                <w:rFonts w:ascii="Century Gothic" w:hAnsi="Century Gothic" w:cstheme="minorHAnsi"/>
                <w:b/>
                <w:color w:val="5B9BD5" w:themeColor="accent1"/>
                <w:sz w:val="40"/>
                <w:szCs w:val="40"/>
              </w:rPr>
              <w:t xml:space="preserve"> </w:t>
            </w:r>
          </w:p>
        </w:tc>
      </w:tr>
      <w:tr w:rsidR="00727B2B" w14:paraId="7A312765" w14:textId="77777777" w:rsidTr="00633821">
        <w:tc>
          <w:tcPr>
            <w:tcW w:w="10456" w:type="dxa"/>
            <w:gridSpan w:val="2"/>
          </w:tcPr>
          <w:p w14:paraId="71DEE329" w14:textId="77777777" w:rsidR="009001B1" w:rsidRPr="00C5769E" w:rsidRDefault="009001B1" w:rsidP="009001B1">
            <w:pPr>
              <w:pStyle w:val="NormalWeb"/>
              <w:spacing w:before="0" w:beforeAutospacing="0" w:after="0" w:afterAutospacing="0"/>
              <w:textAlignment w:val="top"/>
              <w:rPr>
                <w:rFonts w:ascii="Century Gothic" w:hAnsi="Century Gothic" w:cs="Arial"/>
                <w:color w:val="000000" w:themeColor="text1"/>
              </w:rPr>
            </w:pPr>
            <w:r w:rsidRPr="00C5769E">
              <w:rPr>
                <w:rFonts w:ascii="Century Gothic" w:hAnsi="Century Gothic" w:cs="Arial"/>
                <w:color w:val="000000" w:themeColor="text1"/>
              </w:rPr>
              <w:t>As a school within a diverse and international local community, we value the wide range of cultures and languages which make up our school population. Our percentage of children speaking English as an additional language is much higher than the national average, and we place a strong emphasis on the importance of developing speaking and listening skills across the whole school. From the Early Years and throughout the school, we encourage children to feel proud of their own heritage and language, and to respect the language and culture of others. We encourage children to develop their conversation skills in their native language as well as in English.</w:t>
            </w:r>
          </w:p>
          <w:p w14:paraId="0EBD89AB" w14:textId="77777777" w:rsidR="009001B1" w:rsidRPr="00C5769E" w:rsidRDefault="009001B1" w:rsidP="009001B1">
            <w:pPr>
              <w:pStyle w:val="NormalWeb"/>
              <w:spacing w:before="0" w:beforeAutospacing="0" w:after="0" w:afterAutospacing="0"/>
              <w:textAlignment w:val="top"/>
              <w:rPr>
                <w:rFonts w:ascii="Century Gothic" w:hAnsi="Century Gothic" w:cs="Arial"/>
                <w:color w:val="000000" w:themeColor="text1"/>
              </w:rPr>
            </w:pPr>
          </w:p>
          <w:p w14:paraId="18571CA5" w14:textId="36B0037F" w:rsidR="009001B1" w:rsidRPr="00C5769E" w:rsidRDefault="009001B1" w:rsidP="009001B1">
            <w:pPr>
              <w:pStyle w:val="NormalWeb"/>
              <w:spacing w:before="0" w:beforeAutospacing="0" w:after="0" w:afterAutospacing="0"/>
              <w:textAlignment w:val="top"/>
              <w:rPr>
                <w:rFonts w:ascii="Century Gothic" w:hAnsi="Century Gothic" w:cs="Arial"/>
                <w:color w:val="000000" w:themeColor="text1"/>
              </w:rPr>
            </w:pPr>
            <w:r w:rsidRPr="00C5769E">
              <w:rPr>
                <w:rFonts w:ascii="Century Gothic" w:hAnsi="Century Gothic" w:cs="Arial"/>
                <w:color w:val="000000" w:themeColor="text1"/>
              </w:rPr>
              <w:t>In the EYFS and KS1, children become aware of the variety of languages around us, for example,</w:t>
            </w:r>
            <w:r w:rsidR="00C5769E">
              <w:rPr>
                <w:rFonts w:ascii="Century Gothic" w:hAnsi="Century Gothic" w:cs="Arial"/>
                <w:color w:val="000000" w:themeColor="text1"/>
              </w:rPr>
              <w:t xml:space="preserve"> </w:t>
            </w:r>
            <w:r w:rsidR="00E71B12" w:rsidRPr="00C5769E">
              <w:rPr>
                <w:rFonts w:ascii="Century Gothic" w:hAnsi="Century Gothic" w:cs="Arial"/>
                <w:color w:val="000000" w:themeColor="text1"/>
              </w:rPr>
              <w:t xml:space="preserve">celebrating other cultures, dialects, </w:t>
            </w:r>
            <w:r w:rsidR="00C5769E" w:rsidRPr="00C5769E">
              <w:rPr>
                <w:rFonts w:ascii="Century Gothic" w:hAnsi="Century Gothic" w:cs="Arial"/>
                <w:color w:val="000000" w:themeColor="text1"/>
              </w:rPr>
              <w:t>accents,</w:t>
            </w:r>
            <w:r w:rsidR="00E71B12" w:rsidRPr="00C5769E">
              <w:rPr>
                <w:rFonts w:ascii="Century Gothic" w:hAnsi="Century Gothic" w:cs="Arial"/>
                <w:color w:val="000000" w:themeColor="text1"/>
              </w:rPr>
              <w:t xml:space="preserve"> and backgrounds</w:t>
            </w:r>
            <w:r w:rsidR="00E71B12" w:rsidRPr="00C5769E">
              <w:rPr>
                <w:rFonts w:ascii="Century Gothic" w:hAnsi="Century Gothic" w:cs="Arial"/>
                <w:color w:val="000000" w:themeColor="text1"/>
              </w:rPr>
              <w:t xml:space="preserve"> </w:t>
            </w:r>
            <w:r w:rsidR="00C5769E" w:rsidRPr="00C5769E">
              <w:rPr>
                <w:rFonts w:ascii="Century Gothic" w:hAnsi="Century Gothic" w:cs="Arial"/>
                <w:color w:val="000000" w:themeColor="text1"/>
              </w:rPr>
              <w:t xml:space="preserve">through the </w:t>
            </w:r>
            <w:r w:rsidR="00E71B12" w:rsidRPr="00C5769E">
              <w:rPr>
                <w:rFonts w:ascii="Century Gothic" w:hAnsi="Century Gothic" w:cs="Arial"/>
                <w:color w:val="000000" w:themeColor="text1"/>
              </w:rPr>
              <w:t xml:space="preserve">wider curriculum. This allows children to </w:t>
            </w:r>
            <w:r w:rsidR="00E71B12" w:rsidRPr="00C5769E">
              <w:rPr>
                <w:rFonts w:ascii="Century Gothic" w:hAnsi="Century Gothic" w:cs="Arial"/>
                <w:color w:val="000000" w:themeColor="text1"/>
              </w:rPr>
              <w:t>foster respect for different cultures and prepar</w:t>
            </w:r>
            <w:r w:rsidR="00E71B12" w:rsidRPr="00C5769E">
              <w:rPr>
                <w:rFonts w:ascii="Century Gothic" w:hAnsi="Century Gothic" w:cs="Arial"/>
                <w:color w:val="000000" w:themeColor="text1"/>
              </w:rPr>
              <w:t>e</w:t>
            </w:r>
            <w:r w:rsidR="00E71B12" w:rsidRPr="00C5769E">
              <w:rPr>
                <w:rFonts w:ascii="Century Gothic" w:hAnsi="Century Gothic" w:cs="Arial"/>
                <w:color w:val="000000" w:themeColor="text1"/>
              </w:rPr>
              <w:t xml:space="preserve"> them for future language learning. </w:t>
            </w:r>
            <w:r w:rsidRPr="00C5769E">
              <w:rPr>
                <w:rFonts w:ascii="Century Gothic" w:hAnsi="Century Gothic" w:cs="Arial"/>
                <w:color w:val="000000" w:themeColor="text1"/>
              </w:rPr>
              <w:t>Support for speakers of English as a second language is embedded in the school, both through our skilled TAs and support staff and through existing dual-language families offering support to newly arrived parents.  This creates a language positive environment, which builds confidence in children new to English</w:t>
            </w:r>
            <w:r w:rsidR="00E71B12" w:rsidRPr="00C5769E">
              <w:rPr>
                <w:rFonts w:ascii="Century Gothic" w:hAnsi="Century Gothic" w:cs="Arial"/>
                <w:color w:val="000000" w:themeColor="text1"/>
              </w:rPr>
              <w:t>.</w:t>
            </w:r>
          </w:p>
          <w:p w14:paraId="60F2B045" w14:textId="77777777" w:rsidR="009001B1" w:rsidRPr="00C5769E" w:rsidRDefault="009001B1" w:rsidP="009001B1">
            <w:pPr>
              <w:pStyle w:val="NormalWeb"/>
              <w:spacing w:before="0" w:beforeAutospacing="0" w:after="0" w:afterAutospacing="0"/>
              <w:textAlignment w:val="top"/>
              <w:rPr>
                <w:rFonts w:ascii="Century Gothic" w:hAnsi="Century Gothic" w:cs="Arial"/>
                <w:color w:val="000000" w:themeColor="text1"/>
              </w:rPr>
            </w:pPr>
          </w:p>
          <w:p w14:paraId="59612819" w14:textId="62E19006" w:rsidR="009001B1" w:rsidRPr="00C5769E" w:rsidRDefault="009001B1" w:rsidP="009001B1">
            <w:pPr>
              <w:pStyle w:val="NormalWeb"/>
              <w:spacing w:before="0" w:beforeAutospacing="0" w:after="0" w:afterAutospacing="0"/>
              <w:textAlignment w:val="top"/>
              <w:rPr>
                <w:rFonts w:ascii="Century Gothic" w:hAnsi="Century Gothic" w:cs="Arial"/>
                <w:color w:val="000000" w:themeColor="text1"/>
              </w:rPr>
            </w:pPr>
            <w:r w:rsidRPr="00C5769E">
              <w:rPr>
                <w:rFonts w:ascii="Century Gothic" w:hAnsi="Century Gothic" w:cs="Arial"/>
                <w:color w:val="000000" w:themeColor="text1"/>
              </w:rPr>
              <w:t xml:space="preserve">This language rich environment lays the foundation for Modern Foreign Language teaching in KS2.  All KS2 classes receive weekly Spanish lessons to meet the MFL requirement of the statutory curriculum. </w:t>
            </w:r>
            <w:r w:rsidR="00C5769E" w:rsidRPr="00C5769E">
              <w:rPr>
                <w:rFonts w:ascii="Century Gothic" w:hAnsi="Century Gothic" w:cs="Arial"/>
                <w:color w:val="000000" w:themeColor="text1"/>
              </w:rPr>
              <w:t>A wide range</w:t>
            </w:r>
            <w:r w:rsidRPr="00C5769E">
              <w:rPr>
                <w:rFonts w:ascii="Century Gothic" w:hAnsi="Century Gothic" w:cs="Arial"/>
                <w:color w:val="000000" w:themeColor="text1"/>
              </w:rPr>
              <w:t xml:space="preserve"> of resources and interactive programmes</w:t>
            </w:r>
            <w:r w:rsidR="00C5769E" w:rsidRPr="00C5769E">
              <w:rPr>
                <w:rFonts w:ascii="Century Gothic" w:hAnsi="Century Gothic" w:cs="Arial"/>
                <w:color w:val="000000" w:themeColor="text1"/>
              </w:rPr>
              <w:t xml:space="preserve"> are used</w:t>
            </w:r>
            <w:r w:rsidRPr="00C5769E">
              <w:rPr>
                <w:rFonts w:ascii="Century Gothic" w:hAnsi="Century Gothic" w:cs="Arial"/>
                <w:color w:val="000000" w:themeColor="text1"/>
              </w:rPr>
              <w:t xml:space="preserve"> to engage students of all abilities and provide accurate modelling of good grammar and pronunciation. Pupils are taught to express their ideas and thoughts in the target language and to understand and respond in speech and in writing. The children progressively acquire, use and apply a growing bank of vocabulary organised around topics. They are then encouraged and supported to develop their speaking and listening skills through communication and conversational work. As their confidence and skills grow, they can record their work through pictures and sentences in their MFL exercise books.</w:t>
            </w:r>
          </w:p>
          <w:p w14:paraId="7F4C2989" w14:textId="77777777" w:rsidR="009001B1" w:rsidRPr="00C5769E" w:rsidRDefault="009001B1" w:rsidP="009001B1">
            <w:pPr>
              <w:pStyle w:val="NormalWeb"/>
              <w:spacing w:before="0" w:beforeAutospacing="0" w:after="0" w:afterAutospacing="0"/>
              <w:textAlignment w:val="top"/>
              <w:rPr>
                <w:rFonts w:ascii="Century Gothic" w:hAnsi="Century Gothic" w:cs="Arial"/>
                <w:color w:val="000000" w:themeColor="text1"/>
              </w:rPr>
            </w:pPr>
          </w:p>
          <w:p w14:paraId="27E26089" w14:textId="77777777" w:rsidR="009001B1" w:rsidRPr="00C5769E" w:rsidRDefault="009001B1" w:rsidP="009001B1">
            <w:pPr>
              <w:pStyle w:val="NormalWeb"/>
              <w:spacing w:before="0" w:beforeAutospacing="0" w:after="0" w:afterAutospacing="0"/>
              <w:textAlignment w:val="top"/>
              <w:rPr>
                <w:rFonts w:ascii="Century Gothic" w:hAnsi="Century Gothic" w:cstheme="minorHAnsi"/>
                <w:color w:val="000000" w:themeColor="text1"/>
              </w:rPr>
            </w:pPr>
            <w:r w:rsidRPr="00C5769E">
              <w:rPr>
                <w:rFonts w:ascii="Century Gothic" w:hAnsi="Century Gothic" w:cs="Arial"/>
                <w:color w:val="000000" w:themeColor="text1"/>
              </w:rPr>
              <w:t xml:space="preserve">Our MFL curriculum links with our wider curriculum, particularly in Geography where we learn about languages and cultures around the world, but also in the study of other cultures within RE and History, and the celebrating of differences in PSHE. Shared learning of the grammar and vocabulary of a modern foreign language also supports our teaching of grammar and etymology in upper Key Stage 2, as well as establishing the foundation for learning further languages as the progress to High school.  </w:t>
            </w:r>
          </w:p>
          <w:p w14:paraId="329E33AC" w14:textId="77777777" w:rsidR="00727B2B" w:rsidRPr="00C5769E" w:rsidRDefault="00727B2B" w:rsidP="00F567C2">
            <w:pPr>
              <w:rPr>
                <w:rFonts w:ascii="Century Gothic" w:hAnsi="Century Gothic" w:cstheme="minorHAnsi"/>
                <w:sz w:val="24"/>
                <w:szCs w:val="24"/>
                <w:u w:val="single"/>
              </w:rPr>
            </w:pPr>
          </w:p>
        </w:tc>
      </w:tr>
      <w:tr w:rsidR="00727B2B" w14:paraId="2EE0A3C5" w14:textId="77777777" w:rsidTr="00633821">
        <w:tc>
          <w:tcPr>
            <w:tcW w:w="7083" w:type="dxa"/>
          </w:tcPr>
          <w:p w14:paraId="4AC14CB2" w14:textId="77777777" w:rsidR="00727B2B" w:rsidRDefault="00727B2B" w:rsidP="00633821">
            <w:pPr>
              <w:pStyle w:val="Default"/>
              <w:rPr>
                <w:rFonts w:ascii="Univers 45 Light" w:hAnsi="Univers 45 Light"/>
                <w:b/>
                <w:bCs/>
                <w:color w:val="5B9BD5" w:themeColor="accent1"/>
                <w:sz w:val="32"/>
                <w:szCs w:val="32"/>
              </w:rPr>
            </w:pPr>
            <w:r w:rsidRPr="00596805">
              <w:rPr>
                <w:rFonts w:ascii="Univers 45 Light" w:hAnsi="Univers 45 Light"/>
                <w:b/>
                <w:bCs/>
                <w:color w:val="5B9BD5" w:themeColor="accent1"/>
                <w:sz w:val="32"/>
                <w:szCs w:val="32"/>
              </w:rPr>
              <w:t>United Nations Convention</w:t>
            </w:r>
            <w:r>
              <w:rPr>
                <w:rFonts w:ascii="Univers 45 Light" w:hAnsi="Univers 45 Light"/>
                <w:b/>
                <w:bCs/>
                <w:color w:val="5B9BD5" w:themeColor="accent1"/>
                <w:sz w:val="32"/>
                <w:szCs w:val="32"/>
              </w:rPr>
              <w:t xml:space="preserve"> </w:t>
            </w:r>
          </w:p>
          <w:p w14:paraId="74A81E01" w14:textId="77777777" w:rsidR="00727B2B" w:rsidRDefault="00727B2B" w:rsidP="0055613D">
            <w:pPr>
              <w:rPr>
                <w:rFonts w:cstheme="minorHAnsi"/>
                <w:sz w:val="28"/>
                <w:u w:val="single"/>
              </w:rPr>
            </w:pPr>
            <w:r w:rsidRPr="00596805">
              <w:rPr>
                <w:rFonts w:ascii="Univers 45 Light" w:hAnsi="Univers 45 Light"/>
                <w:b/>
                <w:bCs/>
                <w:color w:val="5B9BD5" w:themeColor="accent1"/>
                <w:sz w:val="32"/>
                <w:szCs w:val="32"/>
              </w:rPr>
              <w:t xml:space="preserve">on the Rights </w:t>
            </w:r>
            <w:r w:rsidR="0055613D">
              <w:rPr>
                <w:rFonts w:ascii="Univers 45 Light" w:hAnsi="Univers 45 Light"/>
                <w:b/>
                <w:bCs/>
                <w:color w:val="5B9BD5" w:themeColor="accent1"/>
                <w:sz w:val="32"/>
                <w:szCs w:val="32"/>
              </w:rPr>
              <w:t>o</w:t>
            </w:r>
            <w:r w:rsidRPr="00596805">
              <w:rPr>
                <w:rFonts w:ascii="Univers 45 Light" w:hAnsi="Univers 45 Light"/>
                <w:b/>
                <w:bCs/>
                <w:color w:val="5B9BD5" w:themeColor="accent1"/>
                <w:sz w:val="32"/>
                <w:szCs w:val="32"/>
              </w:rPr>
              <w:t xml:space="preserve">f the </w:t>
            </w:r>
            <w:r>
              <w:rPr>
                <w:rFonts w:ascii="Univers 45 Light" w:hAnsi="Univers 45 Light"/>
                <w:b/>
                <w:bCs/>
                <w:color w:val="5B9BD5" w:themeColor="accent1"/>
                <w:sz w:val="32"/>
                <w:szCs w:val="32"/>
              </w:rPr>
              <w:t>c</w:t>
            </w:r>
            <w:r w:rsidRPr="00596805">
              <w:rPr>
                <w:rFonts w:ascii="Univers 45 Light" w:hAnsi="Univers 45 Light"/>
                <w:b/>
                <w:bCs/>
                <w:color w:val="5B9BD5" w:themeColor="accent1"/>
                <w:sz w:val="32"/>
                <w:szCs w:val="32"/>
              </w:rPr>
              <w:t>hild</w:t>
            </w:r>
          </w:p>
        </w:tc>
        <w:tc>
          <w:tcPr>
            <w:tcW w:w="3373" w:type="dxa"/>
            <w:vMerge w:val="restart"/>
          </w:tcPr>
          <w:p w14:paraId="7094084B" w14:textId="77777777" w:rsidR="00727B2B" w:rsidRDefault="00727B2B" w:rsidP="00633821">
            <w:pPr>
              <w:pStyle w:val="Default"/>
              <w:rPr>
                <w:rFonts w:cstheme="minorHAnsi"/>
                <w:sz w:val="28"/>
                <w:u w:val="single"/>
              </w:rPr>
            </w:pPr>
            <w:r w:rsidRPr="00596805">
              <w:rPr>
                <w:rFonts w:ascii="Arial" w:hAnsi="Arial" w:cs="Arial"/>
                <w:noProof/>
                <w:color w:val="FFFFFF"/>
                <w:sz w:val="32"/>
                <w:szCs w:val="32"/>
                <w:lang w:eastAsia="en-GB"/>
              </w:rPr>
              <w:drawing>
                <wp:anchor distT="0" distB="0" distL="114300" distR="114300" simplePos="0" relativeHeight="251659264" behindDoc="1" locked="0" layoutInCell="1" allowOverlap="1" wp14:anchorId="39A9F76F" wp14:editId="288C8B90">
                  <wp:simplePos x="0" y="0"/>
                  <wp:positionH relativeFrom="column">
                    <wp:posOffset>269875</wp:posOffset>
                  </wp:positionH>
                  <wp:positionV relativeFrom="paragraph">
                    <wp:posOffset>0</wp:posOffset>
                  </wp:positionV>
                  <wp:extent cx="1352550" cy="1261110"/>
                  <wp:effectExtent l="0" t="0" r="0" b="0"/>
                  <wp:wrapTight wrapText="bothSides">
                    <wp:wrapPolygon edited="0">
                      <wp:start x="0" y="0"/>
                      <wp:lineTo x="0" y="21208"/>
                      <wp:lineTo x="21296" y="21208"/>
                      <wp:lineTo x="2129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805">
              <w:rPr>
                <w:rFonts w:ascii="Univers 45 Light" w:hAnsi="Univers 45 Light"/>
                <w:b/>
                <w:bCs/>
                <w:color w:val="5B9BD5" w:themeColor="accent1"/>
                <w:sz w:val="32"/>
                <w:szCs w:val="32"/>
              </w:rPr>
              <w:t xml:space="preserve"> </w:t>
            </w:r>
          </w:p>
          <w:p w14:paraId="7A0F0FDE" w14:textId="77777777" w:rsidR="00727B2B" w:rsidRDefault="00727B2B" w:rsidP="00633821">
            <w:pPr>
              <w:rPr>
                <w:rFonts w:cstheme="minorHAnsi"/>
                <w:sz w:val="28"/>
                <w:u w:val="single"/>
              </w:rPr>
            </w:pPr>
          </w:p>
        </w:tc>
      </w:tr>
      <w:tr w:rsidR="00727B2B" w14:paraId="06ADD675" w14:textId="77777777" w:rsidTr="00633821">
        <w:tc>
          <w:tcPr>
            <w:tcW w:w="7083" w:type="dxa"/>
          </w:tcPr>
          <w:p w14:paraId="7AF79A99" w14:textId="10468E3E" w:rsidR="00F47A93" w:rsidRPr="00C5769E" w:rsidRDefault="00F47A93" w:rsidP="00F47A93">
            <w:pPr>
              <w:autoSpaceDE w:val="0"/>
              <w:autoSpaceDN w:val="0"/>
              <w:adjustRightInd w:val="0"/>
              <w:spacing w:line="241" w:lineRule="atLeast"/>
              <w:rPr>
                <w:rFonts w:ascii="Century Gothic" w:hAnsi="Century Gothic" w:cs="Univers 47 CondensedLight"/>
              </w:rPr>
            </w:pPr>
            <w:r w:rsidRPr="00C5769E">
              <w:rPr>
                <w:rStyle w:val="A0"/>
                <w:rFonts w:ascii="Century Gothic" w:hAnsi="Century Gothic"/>
                <w:b/>
                <w:color w:val="5B9BD5" w:themeColor="accent1"/>
              </w:rPr>
              <w:t>Article 29</w:t>
            </w:r>
            <w:r w:rsidRPr="00C5769E">
              <w:rPr>
                <w:rFonts w:ascii="Century Gothic" w:hAnsi="Century Gothic"/>
                <w:b/>
                <w:bCs/>
              </w:rPr>
              <w:t xml:space="preserve"> </w:t>
            </w:r>
          </w:p>
          <w:p w14:paraId="07F2DE37" w14:textId="77777777" w:rsidR="00F567C2" w:rsidRPr="00C5769E" w:rsidRDefault="00F47A93" w:rsidP="00F47A93">
            <w:pPr>
              <w:autoSpaceDE w:val="0"/>
              <w:autoSpaceDN w:val="0"/>
              <w:adjustRightInd w:val="0"/>
              <w:spacing w:line="241" w:lineRule="atLeast"/>
              <w:rPr>
                <w:rFonts w:ascii="Century Gothic" w:hAnsi="Century Gothic" w:cs="Univers 47 CondensedLight"/>
              </w:rPr>
            </w:pPr>
            <w:r w:rsidRPr="00C5769E">
              <w:rPr>
                <w:rFonts w:ascii="Century Gothic" w:hAnsi="Century Gothic" w:cs="Univers 47 CondensedLight"/>
              </w:rPr>
              <w:t>Education must develop every child’s personality, talents and abilities to the full. It must encourage the child’s respect for human rights, as well as respect for their parents, their own and other cultures, and the environment.</w:t>
            </w:r>
          </w:p>
          <w:p w14:paraId="0B439690" w14:textId="77777777" w:rsidR="009001B1" w:rsidRPr="00C5769E" w:rsidRDefault="009001B1" w:rsidP="009001B1">
            <w:pPr>
              <w:autoSpaceDE w:val="0"/>
              <w:autoSpaceDN w:val="0"/>
              <w:adjustRightInd w:val="0"/>
              <w:spacing w:line="241" w:lineRule="atLeast"/>
              <w:rPr>
                <w:rFonts w:ascii="Century Gothic" w:hAnsi="Century Gothic" w:cs="Univers 47 CondensedLight"/>
              </w:rPr>
            </w:pPr>
            <w:r w:rsidRPr="00C5769E">
              <w:rPr>
                <w:rFonts w:ascii="Century Gothic" w:hAnsi="Century Gothic"/>
                <w:b/>
                <w:sz w:val="24"/>
                <w:szCs w:val="24"/>
              </w:rPr>
              <w:t xml:space="preserve"> </w:t>
            </w:r>
            <w:r w:rsidRPr="00C5769E">
              <w:rPr>
                <w:rStyle w:val="A0"/>
                <w:rFonts w:ascii="Century Gothic" w:hAnsi="Century Gothic"/>
                <w:b/>
                <w:color w:val="5B9BD5" w:themeColor="accent1"/>
              </w:rPr>
              <w:t>Article 30</w:t>
            </w:r>
            <w:r w:rsidRPr="00C5769E">
              <w:rPr>
                <w:rFonts w:ascii="Century Gothic" w:hAnsi="Century Gothic"/>
                <w:b/>
                <w:bCs/>
              </w:rPr>
              <w:t xml:space="preserve"> </w:t>
            </w:r>
          </w:p>
          <w:p w14:paraId="3AF3B6BA" w14:textId="77777777" w:rsidR="009001B1" w:rsidRDefault="009001B1" w:rsidP="009001B1">
            <w:pPr>
              <w:autoSpaceDE w:val="0"/>
              <w:autoSpaceDN w:val="0"/>
              <w:adjustRightInd w:val="0"/>
              <w:spacing w:line="241" w:lineRule="atLeast"/>
              <w:rPr>
                <w:rFonts w:cstheme="minorHAnsi"/>
                <w:sz w:val="28"/>
                <w:u w:val="single"/>
              </w:rPr>
            </w:pPr>
            <w:r w:rsidRPr="00C5769E">
              <w:rPr>
                <w:rFonts w:ascii="Century Gothic" w:hAnsi="Century Gothic" w:cs="Univers 47 CondensedLight"/>
              </w:rPr>
              <w:t>Every child has the right to learn and use the language, customs and religion of their family whether or not these are shared by the majority of the people in the country where they live.</w:t>
            </w:r>
          </w:p>
        </w:tc>
        <w:tc>
          <w:tcPr>
            <w:tcW w:w="3373" w:type="dxa"/>
            <w:vMerge/>
          </w:tcPr>
          <w:p w14:paraId="32B5E20D" w14:textId="77777777" w:rsidR="00727B2B" w:rsidRDefault="00727B2B" w:rsidP="00633821">
            <w:pPr>
              <w:rPr>
                <w:rFonts w:cstheme="minorHAnsi"/>
                <w:sz w:val="28"/>
                <w:u w:val="single"/>
              </w:rPr>
            </w:pPr>
          </w:p>
        </w:tc>
      </w:tr>
    </w:tbl>
    <w:p w14:paraId="5608EFCA" w14:textId="77777777" w:rsidR="00727B2B" w:rsidRDefault="00727B2B" w:rsidP="00727B2B">
      <w:pPr>
        <w:spacing w:line="276" w:lineRule="auto"/>
        <w:rPr>
          <w:rFonts w:cstheme="minorHAnsi"/>
          <w:sz w:val="28"/>
        </w:rPr>
      </w:pPr>
    </w:p>
    <w:p w14:paraId="2FE3F572" w14:textId="77777777" w:rsidR="00283A9B" w:rsidRPr="00283A9B" w:rsidRDefault="00283A9B" w:rsidP="00283A9B">
      <w:pPr>
        <w:autoSpaceDE w:val="0"/>
        <w:autoSpaceDN w:val="0"/>
        <w:adjustRightInd w:val="0"/>
        <w:spacing w:after="0" w:line="240" w:lineRule="auto"/>
        <w:rPr>
          <w:rFonts w:ascii="Univers 47 CondensedLight" w:hAnsi="Univers 47 CondensedLight" w:cs="Univers 47 CondensedLight"/>
          <w:color w:val="000000"/>
          <w:sz w:val="24"/>
          <w:szCs w:val="24"/>
        </w:rPr>
      </w:pPr>
    </w:p>
    <w:p w14:paraId="574BE0D1" w14:textId="77777777" w:rsidR="00727B2B" w:rsidRDefault="00283A9B" w:rsidP="00283A9B">
      <w:pPr>
        <w:spacing w:line="240" w:lineRule="auto"/>
        <w:rPr>
          <w:sz w:val="28"/>
          <w:szCs w:val="28"/>
        </w:rPr>
      </w:pPr>
      <w:r w:rsidRPr="00283A9B">
        <w:rPr>
          <w:rFonts w:ascii="Univers 47 CondensedLight" w:hAnsi="Univers 47 CondensedLight" w:cs="Univers 47 CondensedLight"/>
        </w:rPr>
        <w:t>.</w:t>
      </w:r>
    </w:p>
    <w:p w14:paraId="14FC99EE" w14:textId="77777777" w:rsidR="008604D7" w:rsidRDefault="008604D7"/>
    <w:sectPr w:rsidR="008604D7" w:rsidSect="006754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2B"/>
    <w:rsid w:val="002554EE"/>
    <w:rsid w:val="00283A9B"/>
    <w:rsid w:val="00471FE3"/>
    <w:rsid w:val="0055613D"/>
    <w:rsid w:val="00570CAD"/>
    <w:rsid w:val="00587FEF"/>
    <w:rsid w:val="00675494"/>
    <w:rsid w:val="00727B2B"/>
    <w:rsid w:val="008604D7"/>
    <w:rsid w:val="009001B1"/>
    <w:rsid w:val="00C5769E"/>
    <w:rsid w:val="00E71B12"/>
    <w:rsid w:val="00F47A93"/>
    <w:rsid w:val="00F5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AEC6"/>
  <w15:chartTrackingRefBased/>
  <w15:docId w15:val="{103698B0-9FDE-4858-8FC1-77998246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B2B"/>
    <w:pPr>
      <w:autoSpaceDE w:val="0"/>
      <w:autoSpaceDN w:val="0"/>
      <w:adjustRightInd w:val="0"/>
      <w:spacing w:after="0" w:line="240" w:lineRule="auto"/>
    </w:pPr>
    <w:rPr>
      <w:rFonts w:ascii="Univers 47 CondensedLight" w:hAnsi="Univers 47 CondensedLight" w:cs="Univers 47 CondensedLight"/>
      <w:color w:val="000000"/>
      <w:sz w:val="24"/>
      <w:szCs w:val="24"/>
    </w:rPr>
  </w:style>
  <w:style w:type="paragraph" w:customStyle="1" w:styleId="Pa0">
    <w:name w:val="Pa0"/>
    <w:basedOn w:val="Default"/>
    <w:next w:val="Default"/>
    <w:uiPriority w:val="99"/>
    <w:rsid w:val="00727B2B"/>
    <w:pPr>
      <w:spacing w:line="241" w:lineRule="atLeast"/>
    </w:pPr>
    <w:rPr>
      <w:rFonts w:cstheme="minorBidi"/>
      <w:color w:val="auto"/>
    </w:rPr>
  </w:style>
  <w:style w:type="character" w:customStyle="1" w:styleId="A0">
    <w:name w:val="A0"/>
    <w:uiPriority w:val="99"/>
    <w:rsid w:val="00727B2B"/>
    <w:rPr>
      <w:rFonts w:cs="Univers 47 CondensedLight"/>
      <w:color w:val="000000"/>
      <w:sz w:val="22"/>
      <w:szCs w:val="22"/>
    </w:rPr>
  </w:style>
  <w:style w:type="table" w:styleId="TableGrid">
    <w:name w:val="Table Grid"/>
    <w:basedOn w:val="TableNormal"/>
    <w:uiPriority w:val="39"/>
    <w:rsid w:val="0072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54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3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c8b9bd-586b-4b8b-943c-e026cb382888">
      <Terms xmlns="http://schemas.microsoft.com/office/infopath/2007/PartnerControls"/>
    </lcf76f155ced4ddcb4097134ff3c332f>
    <TaxCatchAll xmlns="7ad5cae4-863b-4b78-984e-70ef6b1ee9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C2E5712B0EE4D96A5EF1932296766" ma:contentTypeVersion="18" ma:contentTypeDescription="Create a new document." ma:contentTypeScope="" ma:versionID="943003e01f77b2309bceac6b100f8e97">
  <xsd:schema xmlns:xsd="http://www.w3.org/2001/XMLSchema" xmlns:xs="http://www.w3.org/2001/XMLSchema" xmlns:p="http://schemas.microsoft.com/office/2006/metadata/properties" xmlns:ns2="50c8b9bd-586b-4b8b-943c-e026cb382888" xmlns:ns3="7ad5cae4-863b-4b78-984e-70ef6b1ee9af" targetNamespace="http://schemas.microsoft.com/office/2006/metadata/properties" ma:root="true" ma:fieldsID="7febdbe9bf386a9af19d69907ca41b11" ns2:_="" ns3:_="">
    <xsd:import namespace="50c8b9bd-586b-4b8b-943c-e026cb382888"/>
    <xsd:import namespace="7ad5cae4-863b-4b78-984e-70ef6b1ee9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8b9bd-586b-4b8b-943c-e026cb382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6e6b0-3390-4e63-8293-b34f8be665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d5cae4-863b-4b78-984e-70ef6b1ee9a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1ff9bc6-eb90-4c6f-9f38-06762249ce1f}" ma:internalName="TaxCatchAll" ma:showField="CatchAllData" ma:web="7ad5cae4-863b-4b78-984e-70ef6b1ee9a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0E430-AF0B-4A13-8B05-73DB1061AAFF}">
  <ds:schemaRefs>
    <ds:schemaRef ds:uri="http://schemas.microsoft.com/office/2006/metadata/properties"/>
    <ds:schemaRef ds:uri="http://schemas.microsoft.com/office/infopath/2007/PartnerControls"/>
    <ds:schemaRef ds:uri="50c8b9bd-586b-4b8b-943c-e026cb382888"/>
    <ds:schemaRef ds:uri="7ad5cae4-863b-4b78-984e-70ef6b1ee9af"/>
  </ds:schemaRefs>
</ds:datastoreItem>
</file>

<file path=customXml/itemProps2.xml><?xml version="1.0" encoding="utf-8"?>
<ds:datastoreItem xmlns:ds="http://schemas.openxmlformats.org/officeDocument/2006/customXml" ds:itemID="{91755A27-14D3-432F-91BA-0337A9E36A3A}">
  <ds:schemaRefs>
    <ds:schemaRef ds:uri="http://schemas.microsoft.com/sharepoint/v3/contenttype/forms"/>
  </ds:schemaRefs>
</ds:datastoreItem>
</file>

<file path=customXml/itemProps3.xml><?xml version="1.0" encoding="utf-8"?>
<ds:datastoreItem xmlns:ds="http://schemas.openxmlformats.org/officeDocument/2006/customXml" ds:itemID="{F2C30933-21B4-40FE-8568-ADE51EDDA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8b9bd-586b-4b8b-943c-e026cb382888"/>
    <ds:schemaRef ds:uri="7ad5cae4-863b-4b78-984e-70ef6b1e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Cox</dc:creator>
  <cp:keywords/>
  <dc:description/>
  <cp:lastModifiedBy>Saiqa Akhtar</cp:lastModifiedBy>
  <cp:revision>2</cp:revision>
  <dcterms:created xsi:type="dcterms:W3CDTF">2024-02-27T15:58:00Z</dcterms:created>
  <dcterms:modified xsi:type="dcterms:W3CDTF">2024-02-27T15:58:00Z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0x010100332C2E5712B0EE4D96A5EF1932296766</vt:lpwstr>
  </property>
</Properties>
</file>